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0F2E"/>
          <w:sz w:val="44"/>
          <w:szCs w:val="44"/>
        </w:rPr>
        <w:t xml:space="preserve">Оценка рисков до кик-оффа</w:t>
      </w:r>
    </w:p>
    <w:p>
      <w:pPr>
        <w:pBdr>
          <w:bottom w:val="single" w:color="E4D9F5" w:sz="6" w:space="8"/>
        </w:pBdr>
        <w:spacing w:after="200"/>
      </w:pPr>
      <w:r>
        <w:rPr>
          <w:i/>
          <w:iCs/>
          <w:color w:val="5B5470"/>
          <w:sz w:val="20"/>
          <w:szCs w:val="20"/>
        </w:rPr>
        <w:t xml:space="preserve">5 шагов, которые AM проходит до подписания контракта или сразу после старта проекта, чтобы выявить риски заранее.</w:t>
      </w:r>
    </w:p>
    <w:p>
      <w:pPr>
        <w:pBdr>
          <w:bottom w:val="single" w:color="E4D9F5" w:sz="4" w:space="6"/>
        </w:pBdr>
        <w:spacing w:after="120" w:before="280"/>
      </w:pPr>
      <w:r>
        <w:rPr>
          <w:b/>
          <w:bCs/>
          <w:color w:val="7522C4"/>
          <w:sz w:val="26"/>
          <w:szCs w:val="26"/>
        </w:rPr>
        <w:t xml:space="preserve">Шаг 1. Профиль маркета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Какие вопросы задавать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На каком маркете (или маркетах) планирует работать партнёр?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Какой регулятор действует и какие у него требования к лицензии?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Насколько высока конкуренция на этом маркете в выбранной вертикали?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Где брать информацию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Публичные реестры лицензий регулятора маркета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Отраслевые обзоры и новости по гемблинг-рынку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Прошлый опыт компании на аналогичных маркетах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Промпт для AI</w:t>
      </w:r>
    </w:p>
    <w:tbl>
      <w:tblPr>
        <w:tblW w:type="pct" w:w="100%"/>
        <w:tblBorders>
          <w:top w:val="single" w:color="E4D9F5" w:sz="4"/>
          <w:left w:val="single" w:color="E4D9F5" w:sz="4"/>
          <w:bottom w:val="single" w:color="E4D9F5" w:sz="4"/>
          <w:right w:val="single" w:color="E4D9F5" w:sz="4"/>
          <w:insideH w:val="single" w:color="E4D9F5" w:sz="4"/>
          <w:insideV w:val="single" w:color="E4D9F5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shd w:fill="F6F1FB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7522C4"/>
                <w:sz w:val="16"/>
                <w:szCs w:val="16"/>
              </w:rPr>
              <w:t xml:space="preserve">ПРОМПТ ДЛЯ AI</w:t>
            </w:r>
          </w:p>
          <w:p>
            <w:r>
              <w:rPr>
                <w:rFonts w:ascii="Courier New" w:cs="Courier New" w:eastAsia="Courier New" w:hAnsi="Courier New"/>
                <w:color w:val="1A0F2E"/>
                <w:sz w:val="19"/>
                <w:szCs w:val="19"/>
              </w:rPr>
              <w:t xml:space="preserve">Собери краткую справку по регулированию гемблинга (покер/казино) на рынке [МАРКЕТ]: какой регулятор, какие лицензии требуются, ключевые ограничения на рекламу и продукт, актуальные изменения в законодательстве за последние 12 месяцев.</w:t>
            </w:r>
          </w:p>
        </w:tc>
      </w:tr>
    </w:tbl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 анализировать</w:t>
      </w:r>
    </w:p>
    <w:p>
      <w:pPr>
        <w:spacing w:after="140"/>
      </w:pPr>
      <w:r>
        <w:rPr>
          <w:color w:val="1A0F2E"/>
          <w:sz w:val="20"/>
          <w:szCs w:val="20"/>
        </w:rPr>
        <w:t xml:space="preserve">Сопоставьте требования регулятора с текущей готовностью партнёра (лицензия, комплаенс) и оцените, реалистичны ли заявленные сроки запуска.</w:t>
      </w:r>
    </w:p>
    <w:p>
      <w:pPr>
        <w:pBdr>
          <w:bottom w:val="single" w:color="E4D9F5" w:sz="4" w:space="6"/>
        </w:pBdr>
        <w:spacing w:after="120" w:before="280"/>
      </w:pPr>
      <w:r>
        <w:rPr>
          <w:b/>
          <w:bCs/>
          <w:color w:val="7522C4"/>
          <w:sz w:val="26"/>
          <w:szCs w:val="26"/>
        </w:rPr>
        <w:t xml:space="preserve">Шаг 2. Финансовая устойчивость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Какие вопросы задавать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Какие источники фондирования у партнёра?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Есть ли история задержек платежей у партнёра с другими подрядчиками?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Какая бизнес-модель монетизации (казино/покер, rake/GGR-share)?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Где брать информацию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Публичная информация о компании и инвесторах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Прямой запрос финансовых референсов у партнёра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Внутренняя база компании по прошлым партнёрам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Промпт для AI</w:t>
      </w:r>
    </w:p>
    <w:tbl>
      <w:tblPr>
        <w:tblW w:type="pct" w:w="100%"/>
        <w:tblBorders>
          <w:top w:val="single" w:color="E4D9F5" w:sz="4"/>
          <w:left w:val="single" w:color="E4D9F5" w:sz="4"/>
          <w:bottom w:val="single" w:color="E4D9F5" w:sz="4"/>
          <w:right w:val="single" w:color="E4D9F5" w:sz="4"/>
          <w:insideH w:val="single" w:color="E4D9F5" w:sz="4"/>
          <w:insideV w:val="single" w:color="E4D9F5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shd w:fill="F6F1FB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7522C4"/>
                <w:sz w:val="16"/>
                <w:szCs w:val="16"/>
              </w:rPr>
              <w:t xml:space="preserve">ПРОМПТ ДЛЯ AI</w:t>
            </w:r>
          </w:p>
          <w:p>
            <w:r>
              <w:rPr>
                <w:rFonts w:ascii="Courier New" w:cs="Courier New" w:eastAsia="Courier New" w:hAnsi="Courier New"/>
                <w:color w:val="1A0F2E"/>
                <w:sz w:val="19"/>
                <w:szCs w:val="19"/>
              </w:rPr>
              <w:t xml:space="preserve">Проанализируй публично доступную информацию о компании [НАЗВАНИЕ ПАРТНЁРА]: инвесторы, финансирование, репутация на рынке, упоминания в новостях о финансовых трудностях или спорах.</w:t>
            </w:r>
          </w:p>
        </w:tc>
      </w:tr>
    </w:tbl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 анализировать</w:t>
      </w:r>
    </w:p>
    <w:p>
      <w:pPr>
        <w:spacing w:after="140"/>
      </w:pPr>
      <w:r>
        <w:rPr>
          <w:color w:val="1A0F2E"/>
          <w:sz w:val="20"/>
          <w:szCs w:val="20"/>
        </w:rPr>
        <w:t xml:space="preserve">Оцените, есть ли явные признаки финансовой нестабильности (судебные споры, задержки, смена собственников) до подписания контракта.</w:t>
      </w:r>
    </w:p>
    <w:p>
      <w:pPr>
        <w:pBdr>
          <w:bottom w:val="single" w:color="E4D9F5" w:sz="4" w:space="6"/>
        </w:pBdr>
        <w:spacing w:after="120" w:before="280"/>
      </w:pPr>
      <w:r>
        <w:rPr>
          <w:b/>
          <w:bCs/>
          <w:color w:val="7522C4"/>
          <w:sz w:val="26"/>
          <w:szCs w:val="26"/>
        </w:rPr>
        <w:t xml:space="preserve">Шаг 3. Продуктовая готовность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Какие вопросы задавать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Какие интеграции нужны для запуска и на каком они этапе?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Реалистичны ли заявленные сроки запуска с технической точки зрения?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Есть ли у партнёра опыт запуска аналогичных продуктов?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Где брать информацию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Техническая документация и roadmap партнёра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Интервью с продуктовой командой партнёра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Внутренняя оценка вашей технической команды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Промпт для AI</w:t>
      </w:r>
    </w:p>
    <w:tbl>
      <w:tblPr>
        <w:tblW w:type="pct" w:w="100%"/>
        <w:tblBorders>
          <w:top w:val="single" w:color="E4D9F5" w:sz="4"/>
          <w:left w:val="single" w:color="E4D9F5" w:sz="4"/>
          <w:bottom w:val="single" w:color="E4D9F5" w:sz="4"/>
          <w:right w:val="single" w:color="E4D9F5" w:sz="4"/>
          <w:insideH w:val="single" w:color="E4D9F5" w:sz="4"/>
          <w:insideV w:val="single" w:color="E4D9F5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shd w:fill="F6F1FB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7522C4"/>
                <w:sz w:val="16"/>
                <w:szCs w:val="16"/>
              </w:rPr>
              <w:t xml:space="preserve">ПРОМПТ ДЛЯ AI</w:t>
            </w:r>
          </w:p>
          <w:p>
            <w:r>
              <w:rPr>
                <w:rFonts w:ascii="Courier New" w:cs="Courier New" w:eastAsia="Courier New" w:hAnsi="Courier New"/>
                <w:color w:val="1A0F2E"/>
                <w:sz w:val="19"/>
                <w:szCs w:val="19"/>
              </w:rPr>
              <w:t xml:space="preserve">На основе описания продукта [ОПИСАНИЕ] составь список технических рисков запуска: какие интеграции обычно занимают больше времени, чем ожидается, какие типичные технические причины задержки запуска в гемблинг-продуктах.</w:t>
            </w:r>
          </w:p>
        </w:tc>
      </w:tr>
    </w:tbl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 анализировать</w:t>
      </w:r>
    </w:p>
    <w:p>
      <w:pPr>
        <w:spacing w:after="140"/>
      </w:pPr>
      <w:r>
        <w:rPr>
          <w:color w:val="1A0F2E"/>
          <w:sz w:val="20"/>
          <w:szCs w:val="20"/>
        </w:rPr>
        <w:t xml:space="preserve">Сравните заявленный таймлайн с типичными сроками аналогичных интеграций и отметьте разрывы.</w:t>
      </w:r>
    </w:p>
    <w:p>
      <w:pPr>
        <w:pBdr>
          <w:bottom w:val="single" w:color="E4D9F5" w:sz="4" w:space="6"/>
        </w:pBdr>
        <w:spacing w:after="120" w:before="280"/>
      </w:pPr>
      <w:r>
        <w:rPr>
          <w:b/>
          <w:bCs/>
          <w:color w:val="7522C4"/>
          <w:sz w:val="26"/>
          <w:szCs w:val="26"/>
        </w:rPr>
        <w:t xml:space="preserve">Шаг 4. Маркетинговая стратегия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Какие вопросы задавать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Какие источники трафика планирует использовать партнёр?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Насколько реалистичны заявленные CPA и ROI на этом маркете?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Есть ли у партнёра собственная база или он полностью зависит от внешнего трафика?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Где брать информацию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Бенчмарки CPA/ROI по вертикали и маркету (внутренние данные)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Публичные отчёты по рынку интернет-рекламы в гемблинге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Прямой запрос маркетингового плана у партнёра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Промпт для AI</w:t>
      </w:r>
    </w:p>
    <w:tbl>
      <w:tblPr>
        <w:tblW w:type="pct" w:w="100%"/>
        <w:tblBorders>
          <w:top w:val="single" w:color="E4D9F5" w:sz="4"/>
          <w:left w:val="single" w:color="E4D9F5" w:sz="4"/>
          <w:bottom w:val="single" w:color="E4D9F5" w:sz="4"/>
          <w:right w:val="single" w:color="E4D9F5" w:sz="4"/>
          <w:insideH w:val="single" w:color="E4D9F5" w:sz="4"/>
          <w:insideV w:val="single" w:color="E4D9F5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shd w:fill="F6F1FB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7522C4"/>
                <w:sz w:val="16"/>
                <w:szCs w:val="16"/>
              </w:rPr>
              <w:t xml:space="preserve">ПРОМПТ ДЛЯ AI</w:t>
            </w:r>
          </w:p>
          <w:p>
            <w:r>
              <w:rPr>
                <w:rFonts w:ascii="Courier New" w:cs="Courier New" w:eastAsia="Courier New" w:hAnsi="Courier New"/>
                <w:color w:val="1A0F2E"/>
                <w:sz w:val="19"/>
                <w:szCs w:val="19"/>
              </w:rPr>
              <w:t xml:space="preserve">Сравни заявленные партнёром показатели CPA и ROI на маркете [МАРКЕТ] с типичными бенчмарками для гемблинг-вертикали (покер/казино). Укажи, выглядят ли цифры реалистичными и какие источники трафика обычно дают такие показатели.</w:t>
            </w:r>
          </w:p>
        </w:tc>
      </w:tr>
    </w:tbl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 анализировать</w:t>
      </w:r>
    </w:p>
    <w:p>
      <w:pPr>
        <w:spacing w:after="140"/>
      </w:pPr>
      <w:r>
        <w:rPr>
          <w:color w:val="1A0F2E"/>
          <w:sz w:val="20"/>
          <w:szCs w:val="20"/>
        </w:rPr>
        <w:t xml:space="preserve">Если заявленные показатели значительно лучше рыночных бенчмарков без явного объяснения - это сигнал риска.</w:t>
      </w:r>
    </w:p>
    <w:p>
      <w:pPr>
        <w:pBdr>
          <w:bottom w:val="single" w:color="E4D9F5" w:sz="4" w:space="6"/>
        </w:pBdr>
        <w:spacing w:after="120" w:before="280"/>
      </w:pPr>
      <w:r>
        <w:rPr>
          <w:b/>
          <w:bCs/>
          <w:color w:val="7522C4"/>
          <w:sz w:val="26"/>
          <w:szCs w:val="26"/>
        </w:rPr>
        <w:t xml:space="preserve">Шаг 5. Команда партнёра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Какие вопросы задавать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Кто ЛПР со стороны партнёра и насколько быстро принимаются решения?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Есть ли у команды опыт в гемблинг-индустрии?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Насколько стабильна команда (нет ли признаков текучки на ключевых позициях)?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Где брать информацию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Профили ключевых сотрудников партнёра в открытых источниках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Прямое общение на этапе сбора требований</w:t>
      </w:r>
    </w:p>
    <w:p>
      <w:pPr>
        <w:spacing w:after="60"/>
        <w:ind w:left="200"/>
      </w:pPr>
      <w:r>
        <w:rPr>
          <w:color w:val="1A0F2E"/>
          <w:sz w:val="20"/>
          <w:szCs w:val="20"/>
        </w:rPr>
        <w:t xml:space="preserve">•  Обратная связь от других отделов, уже контактировавших с партнёром</w:t>
      </w:r>
    </w:p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Промпт для AI</w:t>
      </w:r>
    </w:p>
    <w:tbl>
      <w:tblPr>
        <w:tblW w:type="pct" w:w="100%"/>
        <w:tblBorders>
          <w:top w:val="single" w:color="E4D9F5" w:sz="4"/>
          <w:left w:val="single" w:color="E4D9F5" w:sz="4"/>
          <w:bottom w:val="single" w:color="E4D9F5" w:sz="4"/>
          <w:right w:val="single" w:color="E4D9F5" w:sz="4"/>
          <w:insideH w:val="single" w:color="E4D9F5" w:sz="4"/>
          <w:insideV w:val="single" w:color="E4D9F5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shd w:fill="F6F1FB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7522C4"/>
                <w:sz w:val="16"/>
                <w:szCs w:val="16"/>
              </w:rPr>
              <w:t xml:space="preserve">ПРОМПТ ДЛЯ AI</w:t>
            </w:r>
          </w:p>
          <w:p>
            <w:r>
              <w:rPr>
                <w:rFonts w:ascii="Courier New" w:cs="Courier New" w:eastAsia="Courier New" w:hAnsi="Courier New"/>
                <w:color w:val="1A0F2E"/>
                <w:sz w:val="19"/>
                <w:szCs w:val="19"/>
              </w:rPr>
              <w:t xml:space="preserve">Составь список вопросов для интервью с командой партнёра, которые помогут оценить их опыт в гемблинг-индустрии, скорость принятия решений и стабильность команды.</w:t>
            </w:r>
          </w:p>
        </w:tc>
      </w:tr>
    </w:tbl>
    <w:p>
      <w:pPr>
        <w:spacing w:after="80" w:before="200"/>
      </w:pPr>
      <w:r>
        <w:rPr>
          <w:b/>
          <w:bCs/>
          <w:color w:val="D61EC4"/>
          <w:sz w:val="21"/>
          <w:szCs w:val="21"/>
        </w:rPr>
        <w:t xml:space="preserve">Как анализировать</w:t>
      </w:r>
    </w:p>
    <w:p>
      <w:pPr>
        <w:spacing w:after="140"/>
      </w:pPr>
      <w:r>
        <w:rPr>
          <w:color w:val="1A0F2E"/>
          <w:sz w:val="20"/>
          <w:szCs w:val="20"/>
        </w:rPr>
        <w:t xml:space="preserve">Зафиксируйте контактное лицо, его полномочия и скорость ответов на первых встречах - это лучший предиктор будущей коммуникации.</w:t>
      </w:r>
    </w:p>
    <w:p>
      <w:pPr>
        <w:pBdr>
          <w:bottom w:val="single" w:color="E4D9F5" w:sz="4" w:space="6"/>
        </w:pBdr>
        <w:spacing w:after="120" w:before="320"/>
      </w:pPr>
      <w:r>
        <w:rPr>
          <w:b/>
          <w:bCs/>
          <w:color w:val="7522C4"/>
          <w:sz w:val="28"/>
          <w:szCs w:val="28"/>
        </w:rPr>
        <w:t xml:space="preserve">Таблица рисков для кик-оффа</w:t>
      </w:r>
    </w:p>
    <w:p>
      <w:pPr>
        <w:spacing w:after="140"/>
      </w:pPr>
      <w:r>
        <w:rPr>
          <w:color w:val="1A0F2E"/>
          <w:sz w:val="20"/>
          <w:szCs w:val="20"/>
        </w:rPr>
        <w:t xml:space="preserve">По итогам 5 шагов соберите риски в единую таблицу и используйте её на презентации партнёру на кик-оффе.</w:t>
      </w:r>
    </w:p>
    <w:p>
      <w:pPr>
        <w:spacing w:after="80" w:before="160"/>
      </w:pPr>
      <w:r>
        <w:rPr>
          <w:b/>
          <w:bCs/>
          <w:color w:val="D61EC4"/>
          <w:sz w:val="20"/>
          <w:szCs w:val="20"/>
        </w:rPr>
        <w:t xml:space="preserve">Для внутреннего использования</w:t>
      </w:r>
    </w:p>
    <w:tbl>
      <w:tblPr>
        <w:tblW w:type="pct" w:w="100%"/>
        <w:tblBorders>
          <w:top w:val="single" w:color="E4D9F5" w:sz="4"/>
          <w:left w:val="single" w:color="E4D9F5" w:sz="4"/>
          <w:bottom w:val="single" w:color="E4D9F5" w:sz="4"/>
          <w:right w:val="single" w:color="E4D9F5" w:sz="4"/>
          <w:insideH w:val="single" w:color="E4D9F5" w:sz="4"/>
          <w:insideV w:val="single" w:color="E4D9F5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shd w:fill="7522C4" w:val="clear"/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Категория риска</w:t>
            </w:r>
          </w:p>
        </w:tc>
        <w:tc>
          <w:tcPr>
            <w:shd w:fill="7522C4" w:val="clear"/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Что выявлено</w:t>
            </w:r>
          </w:p>
        </w:tc>
        <w:tc>
          <w:tcPr>
            <w:shd w:fill="7522C4" w:val="clear"/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Источник</w:t>
            </w:r>
          </w:p>
        </w:tc>
        <w:tc>
          <w:tcPr>
            <w:shd w:fill="7522C4" w:val="clear"/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Уровень (green/yellow/red)</w:t>
            </w:r>
          </w:p>
        </w:tc>
      </w:tr>
      <w:tr>
        <w:trPr>
          <w:cantSplit/>
        </w:trPr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</w:tr>
    </w:tbl>
    <w:p>
      <w:pPr>
        <w:spacing w:after="80" w:before="160"/>
      </w:pPr>
      <w:r>
        <w:rPr>
          <w:b/>
          <w:bCs/>
          <w:color w:val="D61EC4"/>
          <w:sz w:val="20"/>
          <w:szCs w:val="20"/>
        </w:rPr>
        <w:t xml:space="preserve">Для презентации партнёру</w:t>
      </w:r>
    </w:p>
    <w:tbl>
      <w:tblPr>
        <w:tblW w:type="pct" w:w="100%"/>
        <w:tblBorders>
          <w:top w:val="single" w:color="E4D9F5" w:sz="4"/>
          <w:left w:val="single" w:color="E4D9F5" w:sz="4"/>
          <w:bottom w:val="single" w:color="E4D9F5" w:sz="4"/>
          <w:right w:val="single" w:color="E4D9F5" w:sz="4"/>
          <w:insideH w:val="single" w:color="E4D9F5" w:sz="4"/>
          <w:insideV w:val="single" w:color="E4D9F5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shd w:fill="7522C4" w:val="clear"/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Категория риска</w:t>
            </w:r>
          </w:p>
        </w:tc>
        <w:tc>
          <w:tcPr>
            <w:shd w:fill="7522C4" w:val="clear"/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Комментарий</w:t>
            </w:r>
          </w:p>
        </w:tc>
        <w:tc>
          <w:tcPr>
            <w:shd w:fill="7522C4" w:val="clear"/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Рекомендация</w:t>
            </w:r>
          </w:p>
        </w:tc>
      </w:tr>
      <w:tr>
        <w:trPr>
          <w:cantSplit/>
        </w:trPr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shd w:fill="F6F1FB" w:val="clear"/>
            <w:vAlign w:val="center"/>
          </w:tcPr>
          <w:p>
            <w:r>
              <w:rPr>
                <w:sz w:val="17"/>
                <w:szCs w:val="17"/>
              </w:rPr>
              <w:t xml:space="preserve"> 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2026-09-23T07:32:32.690Z</dcterms:created>
  <dcterms:modified xsi:type="dcterms:W3CDTF">2026-09-23T07:32:32.691Z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